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ab/>
        <w:tab/>
        <w:tab/>
        <w:tab/>
        <w:tab/>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sz w:val="32"/>
          <w:szCs w:val="32"/>
          <w:rtl w:val="0"/>
        </w:rPr>
        <w:t xml:space="preserve">ASSEMBLY</w:t>
      </w:r>
      <w:r w:rsidDel="00000000" w:rsidR="00000000" w:rsidRPr="00000000">
        <w:rPr>
          <w:b w:val="1"/>
          <w:color w:val="000000"/>
          <w:sz w:val="32"/>
          <w:szCs w:val="32"/>
          <w:rtl w:val="0"/>
        </w:rPr>
        <w:t xml:space="preserve"> FLOOR ALERT</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sz w:val="32"/>
          <w:szCs w:val="3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sz w:val="32"/>
          <w:szCs w:val="32"/>
        </w:rPr>
      </w:pPr>
      <w:r w:rsidDel="00000000" w:rsidR="00000000" w:rsidRPr="00000000">
        <w:rPr>
          <w:b w:val="1"/>
          <w:sz w:val="32"/>
          <w:szCs w:val="32"/>
          <w:rtl w:val="0"/>
        </w:rPr>
        <w:t xml:space="preserve">S</w:t>
      </w:r>
      <w:r w:rsidDel="00000000" w:rsidR="00000000" w:rsidRPr="00000000">
        <w:rPr>
          <w:b w:val="1"/>
          <w:color w:val="000000"/>
          <w:sz w:val="32"/>
          <w:szCs w:val="32"/>
          <w:rtl w:val="0"/>
        </w:rPr>
        <w:t xml:space="preserve">B </w:t>
      </w:r>
      <w:r w:rsidDel="00000000" w:rsidR="00000000" w:rsidRPr="00000000">
        <w:rPr>
          <w:b w:val="1"/>
          <w:sz w:val="32"/>
          <w:szCs w:val="32"/>
          <w:rtl w:val="0"/>
        </w:rPr>
        <w:t xml:space="preserve">34</w:t>
      </w:r>
      <w:r w:rsidDel="00000000" w:rsidR="00000000" w:rsidRPr="00000000">
        <w:rPr>
          <w:b w:val="1"/>
          <w:color w:val="000000"/>
          <w:sz w:val="32"/>
          <w:szCs w:val="32"/>
          <w:rtl w:val="0"/>
        </w:rPr>
        <w:t xml:space="preserve"> (</w:t>
      </w:r>
      <w:r w:rsidDel="00000000" w:rsidR="00000000" w:rsidRPr="00000000">
        <w:rPr>
          <w:b w:val="1"/>
          <w:sz w:val="32"/>
          <w:szCs w:val="32"/>
          <w:rtl w:val="0"/>
        </w:rPr>
        <w:t xml:space="preserve">Richardson</w:t>
      </w:r>
      <w:r w:rsidDel="00000000" w:rsidR="00000000" w:rsidRPr="00000000">
        <w:rPr>
          <w:b w:val="1"/>
          <w:color w:val="000000"/>
          <w:sz w:val="32"/>
          <w:szCs w:val="32"/>
          <w:rtl w:val="0"/>
        </w:rPr>
        <w:t xml:space="preserve">) - </w:t>
      </w:r>
      <w:r w:rsidDel="00000000" w:rsidR="00000000" w:rsidRPr="00000000">
        <w:rPr>
          <w:b w:val="1"/>
          <w:sz w:val="32"/>
          <w:szCs w:val="32"/>
          <w:rtl w:val="0"/>
        </w:rPr>
        <w:t xml:space="preserve">OPPOSE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b w:val="1"/>
          <w:sz w:val="32"/>
          <w:szCs w:val="32"/>
          <w:rtl w:val="0"/>
        </w:rPr>
        <w:t xml:space="preserve">SB 682 (Allen) - SUPPORT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                                 </w:t>
      </w:r>
      <w:r w:rsidDel="00000000" w:rsidR="00000000" w:rsidRPr="00000000">
        <w:rPr>
          <w:color w:val="000000"/>
          <w:rtl w:val="0"/>
        </w:rPr>
        <w:t xml:space="preserve">Members of the California State </w:t>
      </w:r>
      <w:r w:rsidDel="00000000" w:rsidR="00000000" w:rsidRPr="00000000">
        <w:rPr>
          <w:rtl w:val="0"/>
        </w:rPr>
        <w:t xml:space="preserve">Assembly                 September 3, 2025</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rPr>
      </w:pPr>
      <w:r w:rsidDel="00000000" w:rsidR="00000000" w:rsidRPr="00000000">
        <w:rPr>
          <w:b w:val="1"/>
          <w:color w:val="000000"/>
          <w:rtl w:val="0"/>
        </w:rPr>
        <w:t xml:space="preserve">Re: </w:t>
      </w:r>
      <w:r w:rsidDel="00000000" w:rsidR="00000000" w:rsidRPr="00000000">
        <w:rPr>
          <w:b w:val="1"/>
          <w:rtl w:val="0"/>
        </w:rPr>
        <w:t xml:space="preserve">S</w:t>
      </w:r>
      <w:r w:rsidDel="00000000" w:rsidR="00000000" w:rsidRPr="00000000">
        <w:rPr>
          <w:b w:val="1"/>
          <w:color w:val="000000"/>
          <w:rtl w:val="0"/>
        </w:rPr>
        <w:t xml:space="preserve">B </w:t>
      </w:r>
      <w:r w:rsidDel="00000000" w:rsidR="00000000" w:rsidRPr="00000000">
        <w:rPr>
          <w:b w:val="1"/>
          <w:rtl w:val="0"/>
        </w:rPr>
        <w:t xml:space="preserve">34</w:t>
      </w:r>
      <w:r w:rsidDel="00000000" w:rsidR="00000000" w:rsidRPr="00000000">
        <w:rPr>
          <w:b w:val="1"/>
          <w:color w:val="000000"/>
          <w:rtl w:val="0"/>
        </w:rPr>
        <w:t xml:space="preserve"> (</w:t>
      </w:r>
      <w:r w:rsidDel="00000000" w:rsidR="00000000" w:rsidRPr="00000000">
        <w:rPr>
          <w:b w:val="1"/>
          <w:rtl w:val="0"/>
        </w:rPr>
        <w:t xml:space="preserve">Richardson</w:t>
      </w:r>
      <w:r w:rsidDel="00000000" w:rsidR="00000000" w:rsidRPr="00000000">
        <w:rPr>
          <w:b w:val="1"/>
          <w:color w:val="000000"/>
          <w:rtl w:val="0"/>
        </w:rPr>
        <w:t xml:space="preserve">)</w:t>
      </w:r>
      <w:r w:rsidDel="00000000" w:rsidR="00000000" w:rsidRPr="00000000">
        <w:rPr>
          <w:b w:val="1"/>
          <w:rtl w:val="0"/>
        </w:rPr>
        <w:t xml:space="preserve"> -</w:t>
      </w:r>
      <w:r w:rsidDel="00000000" w:rsidR="00000000" w:rsidRPr="00000000">
        <w:rPr>
          <w:b w:val="1"/>
          <w:color w:val="000000"/>
          <w:rtl w:val="0"/>
        </w:rPr>
        <w:t xml:space="preserve"> Hindering Reductions in Port Pollution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SB 34 would unnecessarily interfere with the South Coast Air Quality Management District's (SCAQMD) ability to protect port communities from toxic diesel emissions.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 Los Angeles-Long Beach region remains the most polluted area in the nation for ozone (smog) pollution, with nearby ports releasing nearly 100 tons of smog-forming pollutants per day.</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SB 34 introduces broad and vague language surrounding what actions SCAQMD can take to regulate port pollution, which creates uncertainty, weakens regulatory enforcement, and can lead to costly litigation.</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Additionally, limiting SCAQMD’s ability to enforce the Clean Air Act could result in federal sanctions, jeopardizing tens of billions of dollars of federal funding for highway projects.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Continuing to fail to meet federal clean air standards will result in about 1,500 premature deaths per year and cost our state $19.4 billion per year in public health impacts from air pollution in the South Coast Air Basin.</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Legislative analysis estimates SB 34 will cost California taxpayers millions to tens of millions of dollars by forcing the state to rely on less effective and more expensive pathways to meet basic air standards. </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Re: SB 682 (Allen) - Banning Persistent Toxins in Cleaning Products &amp; Cookware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SB 682 would ban the use of PFAS (per- and polyfluorinated alkyl substances) in six product categories for which PFAS-free alternatives are available.</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PFAS are known as the forever chemicals and have been found in the drinking water sources of 25 million Californians and inside the bloodstream of 99% of Americans.</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PFAS can cause adverse health impacts such as cancer, liver disease, decreased fertility, and developmental harm even at extremely low concentrations.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California has already banned PFAS from firefighting foams, textiles, cosmetics, juvenile products, and paper-based food packaging.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sz w:val="28"/>
          <w:szCs w:val="28"/>
        </w:rPr>
      </w:pPr>
      <w:r w:rsidDel="00000000" w:rsidR="00000000" w:rsidRPr="00000000">
        <w:rPr>
          <w:b w:val="1"/>
          <w:sz w:val="28"/>
          <w:szCs w:val="28"/>
          <w:rtl w:val="0"/>
        </w:rPr>
        <w:t xml:space="preserve">For these reasons, we urge you to vote NO on SB 34 and YES on SB 682</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For more information, please contact Sofia Rafikova at </w:t>
      </w:r>
      <w:hyperlink r:id="rId7">
        <w:r w:rsidDel="00000000" w:rsidR="00000000" w:rsidRPr="00000000">
          <w:rPr>
            <w:color w:val="1155cc"/>
            <w:u w:val="single"/>
            <w:rtl w:val="0"/>
          </w:rPr>
          <w:t xml:space="preserve">sofia@ccair.org</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ind w:left="2880" w:firstLine="0"/>
      <w:rPr/>
    </w:pPr>
    <w:r w:rsidDel="00000000" w:rsidR="00000000" w:rsidRPr="00000000">
      <w:rPr/>
      <w:drawing>
        <wp:inline distB="0" distT="0" distL="0" distR="0">
          <wp:extent cx="2292886" cy="881063"/>
          <wp:effectExtent b="0" l="0" r="0" t="0"/>
          <wp:docPr descr="A picture containing text, clipart, clock, sign&#10;&#10;Description automatically generated" id="18" name="image1.jpg"/>
          <a:graphic>
            <a:graphicData uri="http://schemas.openxmlformats.org/drawingml/2006/picture">
              <pic:pic>
                <pic:nvPicPr>
                  <pic:cNvPr descr="A picture containing text, clipart, clock, sign&#10;&#10;Description automatically generated" id="0" name="image1.jpg"/>
                  <pic:cNvPicPr preferRelativeResize="0"/>
                </pic:nvPicPr>
                <pic:blipFill>
                  <a:blip r:embed="rId1"/>
                  <a:srcRect b="0" l="0" r="0" t="0"/>
                  <a:stretch>
                    <a:fillRect/>
                  </a:stretch>
                </pic:blipFill>
                <pic:spPr>
                  <a:xfrm>
                    <a:off x="0" y="0"/>
                    <a:ext cx="2292886" cy="881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51031F"/>
    <w:pPr>
      <w:autoSpaceDE w:val="0"/>
      <w:autoSpaceDN w:val="0"/>
      <w:adjustRightInd w:val="0"/>
    </w:pPr>
    <w:rPr>
      <w:rFonts w:ascii="Tahoma" w:cs="Tahoma" w:hAnsi="Tahoma"/>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fia@ccair.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5G5STbuLfQLIQ26iqdzRxJ+wfw==">CgMxLjA4AHIhMUg0TWZndjI3S291WGhUdUtIc0hzV1R5Z08xY3VPcVlj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2022-05-23T18:21:00Z</dcterms:created>
  <dc:creator>Bill Magavern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0x010100490A7384E868844BB18BBAE121CF02EC</vt:lpwstr>
  </property>
</Properties>
</file>